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FF3B" w14:textId="77777777" w:rsidR="00692107" w:rsidRPr="00D146AA" w:rsidRDefault="00692107" w:rsidP="00F85C01">
      <w:pPr>
        <w:pStyle w:val="onecomwebmail-msonormal"/>
        <w:jc w:val="center"/>
        <w:outlineLvl w:val="0"/>
        <w:rPr>
          <w:rStyle w:val="size"/>
          <w:rFonts w:asciiTheme="minorHAnsi" w:hAnsiTheme="minorHAnsi" w:cs="Arial"/>
          <w:b/>
          <w:caps/>
          <w:color w:val="000000"/>
          <w:sz w:val="32"/>
          <w:szCs w:val="32"/>
          <w:lang w:val="fr-FR"/>
        </w:rPr>
      </w:pPr>
      <w:r w:rsidRPr="00D146AA">
        <w:rPr>
          <w:rStyle w:val="size"/>
          <w:rFonts w:asciiTheme="minorHAnsi" w:hAnsiTheme="minorHAnsi" w:cs="Arial"/>
          <w:b/>
          <w:caps/>
          <w:color w:val="000000"/>
          <w:sz w:val="32"/>
          <w:szCs w:val="32"/>
          <w:lang w:val="fr-FR"/>
        </w:rPr>
        <w:t>Communiqué de presse</w:t>
      </w:r>
    </w:p>
    <w:p w14:paraId="24C233AE" w14:textId="50E5914C" w:rsidR="00692107" w:rsidRPr="00D146AA" w:rsidRDefault="004B12AB" w:rsidP="00692107">
      <w:pPr>
        <w:pStyle w:val="onecomwebmail-msonormal"/>
        <w:spacing w:before="0" w:beforeAutospacing="0" w:after="0" w:afterAutospacing="0"/>
        <w:jc w:val="center"/>
        <w:rPr>
          <w:rStyle w:val="size"/>
          <w:rFonts w:asciiTheme="minorHAnsi" w:hAnsiTheme="minorHAnsi" w:cs="Arial"/>
          <w:b/>
          <w:color w:val="000000"/>
          <w:sz w:val="36"/>
          <w:szCs w:val="36"/>
          <w:lang w:val="fr-FR"/>
        </w:rPr>
      </w:pPr>
      <w:r w:rsidRPr="00D146AA">
        <w:rPr>
          <w:rStyle w:val="size"/>
          <w:rFonts w:asciiTheme="minorHAnsi" w:hAnsiTheme="minorHAnsi" w:cs="Arial"/>
          <w:b/>
          <w:color w:val="000000"/>
          <w:sz w:val="36"/>
          <w:szCs w:val="36"/>
          <w:lang w:val="fr-FR"/>
        </w:rPr>
        <w:t xml:space="preserve">Excellente année 2017 pour </w:t>
      </w:r>
      <w:r w:rsidRPr="00CF7F6C">
        <w:rPr>
          <w:rFonts w:asciiTheme="minorHAnsi" w:eastAsia="Times New Roman" w:hAnsiTheme="minorHAnsi"/>
          <w:b/>
          <w:sz w:val="36"/>
          <w:szCs w:val="36"/>
          <w:lang w:val="fr-FR"/>
        </w:rPr>
        <w:t>l'aéroport d'Ostende-B</w:t>
      </w:r>
      <w:r w:rsidRPr="00D146AA">
        <w:rPr>
          <w:rFonts w:asciiTheme="minorHAnsi" w:eastAsia="Times New Roman" w:hAnsiTheme="minorHAnsi"/>
          <w:b/>
          <w:sz w:val="36"/>
          <w:szCs w:val="36"/>
          <w:lang w:val="fr-FR"/>
        </w:rPr>
        <w:t>ruges</w:t>
      </w:r>
      <w:r w:rsidRPr="00D146AA">
        <w:rPr>
          <w:rStyle w:val="size"/>
          <w:rFonts w:asciiTheme="minorHAnsi" w:hAnsiTheme="minorHAnsi" w:cs="Arial"/>
          <w:b/>
          <w:color w:val="000000"/>
          <w:sz w:val="36"/>
          <w:szCs w:val="36"/>
          <w:lang w:val="fr-FR"/>
        </w:rPr>
        <w:t xml:space="preserve"> </w:t>
      </w:r>
    </w:p>
    <w:p w14:paraId="49456B5C" w14:textId="4825DABF" w:rsidR="00692107" w:rsidRPr="00355F2D" w:rsidRDefault="004B12AB" w:rsidP="004B12AB">
      <w:pPr>
        <w:pStyle w:val="onecomwebmail-msonormal"/>
        <w:rPr>
          <w:rStyle w:val="size"/>
          <w:rFonts w:asciiTheme="minorHAnsi" w:hAnsiTheme="minorHAnsi" w:cs="Arial"/>
          <w:b/>
          <w:bCs/>
          <w:color w:val="000000"/>
          <w:lang w:val="fr-FR"/>
        </w:rPr>
      </w:pPr>
      <w:r w:rsidRPr="00355F2D">
        <w:rPr>
          <w:rStyle w:val="size"/>
          <w:rFonts w:asciiTheme="minorHAnsi" w:hAnsiTheme="minorHAnsi" w:cs="Arial"/>
          <w:b/>
          <w:bCs/>
          <w:color w:val="000000"/>
          <w:sz w:val="22"/>
          <w:szCs w:val="22"/>
          <w:lang w:val="fr-FR"/>
        </w:rPr>
        <w:t xml:space="preserve">Ostende, le 5 janvier 2018 </w:t>
      </w:r>
      <w:r w:rsidR="00692107" w:rsidRPr="00355F2D">
        <w:rPr>
          <w:rStyle w:val="size"/>
          <w:rFonts w:asciiTheme="minorHAnsi" w:hAnsiTheme="minorHAnsi" w:cs="Arial"/>
          <w:b/>
          <w:bCs/>
          <w:color w:val="000000"/>
          <w:sz w:val="22"/>
          <w:szCs w:val="22"/>
          <w:lang w:val="fr-FR"/>
        </w:rPr>
        <w:t xml:space="preserve">– </w:t>
      </w:r>
      <w:r w:rsidRPr="00355F2D">
        <w:rPr>
          <w:rFonts w:asciiTheme="minorHAnsi" w:hAnsiTheme="minorHAnsi" w:cs="Arial"/>
          <w:b/>
          <w:bCs/>
          <w:color w:val="000000"/>
          <w:lang w:val="fr-FR"/>
        </w:rPr>
        <w:t>En 2017, l'aéroport d'Ostende-Bruges a accueilli 365.345 passagers, 22.708 mouvements ont été enregistrés et 23 369 tonnes de fret ont été transportés.</w:t>
      </w:r>
    </w:p>
    <w:p w14:paraId="7A9B2480" w14:textId="77777777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CF7F6C">
        <w:rPr>
          <w:rFonts w:eastAsia="Times New Roman" w:cs="Times New Roman"/>
          <w:b/>
          <w:lang w:val="fr-FR"/>
        </w:rPr>
        <w:t>Résultats</w:t>
      </w:r>
      <w:r w:rsidRPr="00CF7F6C">
        <w:rPr>
          <w:rFonts w:eastAsia="PMingLiU" w:cs="PMingLiU"/>
          <w:lang w:val="fr-FR"/>
        </w:rPr>
        <w:br/>
      </w:r>
      <w:r w:rsidRPr="00CF7F6C">
        <w:rPr>
          <w:rFonts w:eastAsia="Times New Roman" w:cs="Times New Roman"/>
          <w:lang w:val="fr-FR"/>
        </w:rPr>
        <w:t>En 2017, l'aéropor</w:t>
      </w:r>
      <w:r w:rsidRPr="00355F2D">
        <w:rPr>
          <w:rFonts w:eastAsia="Times New Roman" w:cs="Times New Roman"/>
          <w:lang w:val="fr-FR"/>
        </w:rPr>
        <w:t>t d'Ostende-Bruges comptait 365.</w:t>
      </w:r>
      <w:r w:rsidRPr="00CF7F6C">
        <w:rPr>
          <w:rFonts w:eastAsia="Times New Roman" w:cs="Times New Roman"/>
          <w:lang w:val="fr-FR"/>
        </w:rPr>
        <w:t>345 passagers, soit une baisse de 16% par rapport à 2016. Ces résultats demandent toutefois des éclaircissements</w:t>
      </w:r>
      <w:r w:rsidRPr="00355F2D">
        <w:rPr>
          <w:rFonts w:eastAsia="Times New Roman" w:cs="Times New Roman"/>
          <w:lang w:val="fr-FR"/>
        </w:rPr>
        <w:t> : en ne tenant pas compte des 120.</w:t>
      </w:r>
      <w:r w:rsidRPr="00CF7F6C">
        <w:rPr>
          <w:rFonts w:eastAsia="Times New Roman" w:cs="Times New Roman"/>
          <w:lang w:val="fr-FR"/>
        </w:rPr>
        <w:t xml:space="preserve">000 passagers supplémentaires </w:t>
      </w:r>
      <w:r w:rsidRPr="00355F2D">
        <w:rPr>
          <w:rFonts w:eastAsia="Times New Roman" w:cs="Times New Roman"/>
          <w:lang w:val="fr-FR"/>
        </w:rPr>
        <w:t xml:space="preserve">ayant </w:t>
      </w:r>
      <w:r w:rsidRPr="00CF7F6C">
        <w:rPr>
          <w:rFonts w:eastAsia="Times New Roman" w:cs="Times New Roman"/>
          <w:lang w:val="fr-FR"/>
        </w:rPr>
        <w:t>utilisé l'aéroport d'Ostende</w:t>
      </w:r>
      <w:r w:rsidRPr="00355F2D">
        <w:rPr>
          <w:rFonts w:eastAsia="Times New Roman" w:cs="Times New Roman"/>
          <w:lang w:val="fr-FR"/>
        </w:rPr>
        <w:t>-Bruges suite aux attentats de Bruxelles, on note</w:t>
      </w:r>
      <w:r w:rsidRPr="00CF7F6C">
        <w:rPr>
          <w:rFonts w:eastAsia="Times New Roman" w:cs="Times New Roman"/>
          <w:lang w:val="fr-FR"/>
        </w:rPr>
        <w:t xml:space="preserve"> </w:t>
      </w:r>
      <w:r w:rsidRPr="00355F2D">
        <w:rPr>
          <w:rFonts w:eastAsia="Times New Roman" w:cs="Times New Roman"/>
          <w:lang w:val="fr-FR"/>
        </w:rPr>
        <w:t xml:space="preserve">alors </w:t>
      </w:r>
      <w:r w:rsidRPr="00CF7F6C">
        <w:rPr>
          <w:rFonts w:eastAsia="Times New Roman" w:cs="Times New Roman"/>
          <w:lang w:val="fr-FR"/>
        </w:rPr>
        <w:t>une augmentation de 15% par rapport à 2016.</w:t>
      </w:r>
    </w:p>
    <w:p w14:paraId="2CD4378A" w14:textId="78B84DB2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CF7F6C">
        <w:rPr>
          <w:rFonts w:eastAsia="Times New Roman" w:cs="Times New Roman"/>
          <w:lang w:val="fr-FR"/>
        </w:rPr>
        <w:t>En termes de fret, l'aéroport affiche une croissance de 5% par rapport à 2016, les trois derniers mois de 2016 enregistrant une forte augmentation.</w:t>
      </w:r>
    </w:p>
    <w:p w14:paraId="5711EE3C" w14:textId="77777777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355F2D">
        <w:rPr>
          <w:rFonts w:eastAsia="Times New Roman" w:cs="Times New Roman"/>
          <w:b/>
          <w:lang w:val="fr-FR"/>
        </w:rPr>
        <w:t>Perspectives</w:t>
      </w:r>
      <w:r w:rsidRPr="00355F2D">
        <w:rPr>
          <w:rFonts w:eastAsia="Times New Roman" w:cs="Times New Roman"/>
          <w:lang w:val="fr-FR"/>
        </w:rPr>
        <w:t xml:space="preserve"> </w:t>
      </w:r>
      <w:r w:rsidRPr="00CF7F6C">
        <w:rPr>
          <w:rFonts w:eastAsia="PMingLiU" w:cs="PMingLiU"/>
          <w:lang w:val="fr-FR"/>
        </w:rPr>
        <w:br/>
      </w:r>
      <w:r w:rsidRPr="00CF7F6C">
        <w:rPr>
          <w:rFonts w:eastAsia="Times New Roman" w:cs="Times New Roman"/>
          <w:lang w:val="fr-FR"/>
        </w:rPr>
        <w:t xml:space="preserve">L'été prochain, TUI </w:t>
      </w:r>
      <w:r w:rsidRPr="00355F2D">
        <w:rPr>
          <w:rFonts w:eastAsia="Times New Roman" w:cs="Times New Roman"/>
          <w:lang w:val="fr-FR"/>
        </w:rPr>
        <w:t>lance</w:t>
      </w:r>
      <w:r w:rsidRPr="00CF7F6C">
        <w:rPr>
          <w:rFonts w:eastAsia="Times New Roman" w:cs="Times New Roman"/>
          <w:lang w:val="fr-FR"/>
        </w:rPr>
        <w:t xml:space="preserve">ra quatre nouvelles destinations d'Ostende-Bruges, avec des </w:t>
      </w:r>
      <w:r w:rsidRPr="00355F2D">
        <w:rPr>
          <w:rFonts w:eastAsia="Times New Roman" w:cs="Times New Roman"/>
          <w:lang w:val="fr-FR"/>
        </w:rPr>
        <w:t xml:space="preserve">vols vers </w:t>
      </w:r>
      <w:proofErr w:type="spellStart"/>
      <w:r w:rsidRPr="00355F2D">
        <w:rPr>
          <w:rFonts w:eastAsia="Times New Roman" w:cs="Times New Roman"/>
          <w:lang w:val="fr-FR"/>
        </w:rPr>
        <w:t>Charm</w:t>
      </w:r>
      <w:proofErr w:type="spellEnd"/>
      <w:r w:rsidRPr="00355F2D">
        <w:rPr>
          <w:rFonts w:eastAsia="Times New Roman" w:cs="Times New Roman"/>
          <w:lang w:val="fr-FR"/>
        </w:rPr>
        <w:t xml:space="preserve"> el-Cheikh, </w:t>
      </w:r>
      <w:proofErr w:type="spellStart"/>
      <w:r w:rsidRPr="00355F2D">
        <w:rPr>
          <w:rFonts w:eastAsia="Times New Roman" w:cs="Times New Roman"/>
          <w:lang w:val="fr-FR"/>
        </w:rPr>
        <w:t>Hurgh</w:t>
      </w:r>
      <w:r w:rsidRPr="00CF7F6C">
        <w:rPr>
          <w:rFonts w:eastAsia="Times New Roman" w:cs="Times New Roman"/>
          <w:lang w:val="fr-FR"/>
        </w:rPr>
        <w:t>ada</w:t>
      </w:r>
      <w:proofErr w:type="spellEnd"/>
      <w:r w:rsidRPr="00CF7F6C">
        <w:rPr>
          <w:rFonts w:eastAsia="Times New Roman" w:cs="Times New Roman"/>
          <w:lang w:val="fr-FR"/>
        </w:rPr>
        <w:t xml:space="preserve">, Corfou et Djerba. Cela porte le nombre total de destinations </w:t>
      </w:r>
      <w:r w:rsidRPr="00355F2D">
        <w:rPr>
          <w:rFonts w:eastAsia="Times New Roman" w:cs="Times New Roman"/>
          <w:lang w:val="fr-FR"/>
        </w:rPr>
        <w:t xml:space="preserve">proposées par </w:t>
      </w:r>
      <w:r w:rsidRPr="00CF7F6C">
        <w:rPr>
          <w:rFonts w:eastAsia="Times New Roman" w:cs="Times New Roman"/>
          <w:lang w:val="fr-FR"/>
        </w:rPr>
        <w:t>TUI à 25</w:t>
      </w:r>
      <w:r w:rsidRPr="00355F2D">
        <w:rPr>
          <w:rFonts w:eastAsia="Times New Roman" w:cs="Times New Roman"/>
          <w:lang w:val="fr-FR"/>
        </w:rPr>
        <w:t>,</w:t>
      </w:r>
      <w:r w:rsidRPr="00CF7F6C">
        <w:rPr>
          <w:rFonts w:eastAsia="Times New Roman" w:cs="Times New Roman"/>
          <w:lang w:val="fr-FR"/>
        </w:rPr>
        <w:t xml:space="preserve"> avec une belle </w:t>
      </w:r>
      <w:r w:rsidRPr="00355F2D">
        <w:rPr>
          <w:rFonts w:eastAsia="Times New Roman" w:cs="Times New Roman"/>
          <w:lang w:val="fr-FR"/>
        </w:rPr>
        <w:t>palette</w:t>
      </w:r>
      <w:r w:rsidRPr="00CF7F6C">
        <w:rPr>
          <w:rFonts w:eastAsia="Times New Roman" w:cs="Times New Roman"/>
          <w:lang w:val="fr-FR"/>
        </w:rPr>
        <w:t xml:space="preserve"> de destinations estivales.</w:t>
      </w:r>
    </w:p>
    <w:p w14:paraId="5BF07613" w14:textId="1C72319A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355F2D">
        <w:rPr>
          <w:rFonts w:eastAsia="Times New Roman" w:cs="Times New Roman"/>
          <w:lang w:val="fr-FR"/>
        </w:rPr>
        <w:t>Concernant l</w:t>
      </w:r>
      <w:r w:rsidRPr="00CF7F6C">
        <w:rPr>
          <w:rFonts w:eastAsia="Times New Roman" w:cs="Times New Roman"/>
          <w:lang w:val="fr-FR"/>
        </w:rPr>
        <w:t>es vols de fret, nous constatons que de nombreux transitaires demandent de plus en plus à utiliser l'aéroport d'Ostende-Bruges comme alternative aux aéroports encombrés tels que Schiphol, Liège et Bruxelles.</w:t>
      </w:r>
    </w:p>
    <w:p w14:paraId="32EEA353" w14:textId="77777777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355F2D">
        <w:rPr>
          <w:rFonts w:eastAsia="Times New Roman" w:cs="Times New Roman"/>
          <w:lang w:val="fr-FR"/>
        </w:rPr>
        <w:t xml:space="preserve">En ce qui concerne les activités de General Aviation, </w:t>
      </w:r>
      <w:r w:rsidRPr="00CF7F6C">
        <w:rPr>
          <w:rFonts w:eastAsia="Times New Roman" w:cs="Times New Roman"/>
          <w:lang w:val="fr-FR"/>
        </w:rPr>
        <w:t xml:space="preserve">le NSAC a entre-temps </w:t>
      </w:r>
      <w:r w:rsidRPr="00355F2D">
        <w:rPr>
          <w:rFonts w:eastAsia="Times New Roman" w:cs="Times New Roman"/>
          <w:lang w:val="fr-FR"/>
        </w:rPr>
        <w:t>entamé la construction du</w:t>
      </w:r>
      <w:r w:rsidRPr="00CF7F6C">
        <w:rPr>
          <w:rFonts w:eastAsia="Times New Roman" w:cs="Times New Roman"/>
          <w:lang w:val="fr-FR"/>
        </w:rPr>
        <w:t xml:space="preserve"> Business Terminal, ce qui donnera un nouvel élan aux vols privés et d'affaires à l'aéroport d'Ostende-Bruges. Le terminal d'affaires sera officiellement inauguré au début de l'année prochaine.</w:t>
      </w:r>
    </w:p>
    <w:p w14:paraId="07FC7AA0" w14:textId="63E58F53" w:rsidR="004B12AB" w:rsidRPr="00355F2D" w:rsidRDefault="004B12AB" w:rsidP="004B12AB">
      <w:pPr>
        <w:jc w:val="both"/>
        <w:rPr>
          <w:rFonts w:eastAsia="Times New Roman" w:cs="Times New Roman"/>
          <w:lang w:val="fr-FR"/>
        </w:rPr>
      </w:pPr>
      <w:r w:rsidRPr="00355F2D">
        <w:rPr>
          <w:rFonts w:eastAsia="Times New Roman" w:cs="Times New Roman"/>
          <w:lang w:val="fr-FR"/>
        </w:rPr>
        <w:t>Marcel Buelens, CEO</w:t>
      </w:r>
      <w:r w:rsidRPr="00CF7F6C">
        <w:rPr>
          <w:rFonts w:eastAsia="Times New Roman" w:cs="Times New Roman"/>
          <w:lang w:val="fr-FR"/>
        </w:rPr>
        <w:t xml:space="preserve"> d'Ostende-Bruges et de l'aéroport d'Anvers, a déclaré</w:t>
      </w:r>
      <w:r w:rsidRPr="00355F2D">
        <w:rPr>
          <w:rFonts w:eastAsia="Times New Roman" w:cs="Times New Roman"/>
          <w:lang w:val="fr-FR"/>
        </w:rPr>
        <w:t xml:space="preserve"> </w:t>
      </w:r>
      <w:r w:rsidRPr="00CF7F6C">
        <w:rPr>
          <w:rFonts w:eastAsia="Times New Roman" w:cs="Times New Roman"/>
          <w:lang w:val="fr-FR"/>
        </w:rPr>
        <w:t>: «</w:t>
      </w:r>
      <w:r w:rsidRPr="00355F2D">
        <w:rPr>
          <w:rFonts w:eastAsia="Times New Roman" w:cs="Times New Roman"/>
          <w:lang w:val="fr-FR"/>
        </w:rPr>
        <w:t xml:space="preserve"> </w:t>
      </w:r>
      <w:r w:rsidRPr="00CF7F6C">
        <w:rPr>
          <w:rFonts w:eastAsia="Times New Roman" w:cs="Times New Roman"/>
          <w:lang w:val="fr-FR"/>
        </w:rPr>
        <w:t>En ce qui concerne les vols commerciaux et les vols cargo, la tendance est clair</w:t>
      </w:r>
      <w:r w:rsidRPr="00355F2D">
        <w:rPr>
          <w:rFonts w:eastAsia="Times New Roman" w:cs="Times New Roman"/>
          <w:lang w:val="fr-FR"/>
        </w:rPr>
        <w:t>e à l'aéroport d'Ostende-Bruges :</w:t>
      </w:r>
      <w:r w:rsidRPr="00CF7F6C">
        <w:rPr>
          <w:rFonts w:eastAsia="Times New Roman" w:cs="Times New Roman"/>
          <w:lang w:val="fr-FR"/>
        </w:rPr>
        <w:t xml:space="preserve"> de plus en plus de voyageurs c</w:t>
      </w:r>
      <w:r w:rsidRPr="00355F2D">
        <w:rPr>
          <w:rFonts w:eastAsia="Times New Roman" w:cs="Times New Roman"/>
          <w:lang w:val="fr-FR"/>
        </w:rPr>
        <w:t xml:space="preserve">hoisissent de prendre l'avion depuis </w:t>
      </w:r>
      <w:r w:rsidRPr="00CF7F6C">
        <w:rPr>
          <w:rFonts w:eastAsia="Times New Roman" w:cs="Times New Roman"/>
          <w:lang w:val="fr-FR"/>
        </w:rPr>
        <w:t xml:space="preserve">Ostende grâce aux nombreux avantages de cet aéroport. </w:t>
      </w:r>
      <w:r w:rsidRPr="00355F2D">
        <w:rPr>
          <w:rFonts w:eastAsia="Times New Roman" w:cs="Times New Roman"/>
          <w:lang w:val="fr-FR"/>
        </w:rPr>
        <w:t>Quant aux</w:t>
      </w:r>
      <w:r w:rsidRPr="00CF7F6C">
        <w:rPr>
          <w:rFonts w:eastAsia="Times New Roman" w:cs="Times New Roman"/>
          <w:lang w:val="fr-FR"/>
        </w:rPr>
        <w:t xml:space="preserve"> vols cargo, nous recevons de plus en plus de demandes de la part d'entreprises qui considèrent la capacité et les possibilités futures de notr</w:t>
      </w:r>
      <w:r w:rsidRPr="00355F2D">
        <w:rPr>
          <w:rFonts w:eastAsia="Times New Roman" w:cs="Times New Roman"/>
          <w:lang w:val="fr-FR"/>
        </w:rPr>
        <w:t>e aéroport comme une solution ».</w:t>
      </w:r>
    </w:p>
    <w:p w14:paraId="0BACE542" w14:textId="77777777" w:rsidR="00355F2D" w:rsidRPr="00355F2D" w:rsidRDefault="00355F2D" w:rsidP="004B12AB">
      <w:pPr>
        <w:jc w:val="both"/>
        <w:rPr>
          <w:rFonts w:eastAsia="Times New Roman" w:cs="Times New Roman"/>
          <w:lang w:val="fr-FR"/>
        </w:rPr>
      </w:pPr>
    </w:p>
    <w:p w14:paraId="78A78F23" w14:textId="77777777" w:rsidR="00355F2D" w:rsidRPr="00355F2D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b/>
          <w:noProof/>
          <w:sz w:val="20"/>
          <w:szCs w:val="20"/>
          <w:lang w:eastAsia="nl-BE"/>
        </w:rPr>
      </w:pPr>
      <w:r w:rsidRPr="00355F2D">
        <w:rPr>
          <w:noProof/>
          <w:lang w:eastAsia="nl-BE"/>
        </w:rPr>
        <w:drawing>
          <wp:inline distT="0" distB="0" distL="0" distR="0" wp14:anchorId="48E24A00" wp14:editId="2C3DAF8D">
            <wp:extent cx="2657475" cy="1476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55F2D">
        <w:rPr>
          <w:b/>
          <w:noProof/>
          <w:sz w:val="20"/>
          <w:szCs w:val="20"/>
          <w:lang w:eastAsia="nl-BE"/>
        </w:rPr>
        <w:t xml:space="preserve">    </w:t>
      </w:r>
      <w:r w:rsidRPr="00355F2D">
        <w:rPr>
          <w:b/>
          <w:noProof/>
          <w:sz w:val="20"/>
          <w:szCs w:val="20"/>
          <w:lang w:eastAsia="nl-BE"/>
        </w:rPr>
        <w:drawing>
          <wp:inline distT="0" distB="0" distL="0" distR="0" wp14:anchorId="55848DFC" wp14:editId="5947ED9D">
            <wp:extent cx="2886075" cy="147640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14" cy="1496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B1D3D" w14:textId="77777777" w:rsidR="00355F2D" w:rsidRPr="00355F2D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b/>
          <w:noProof/>
          <w:sz w:val="20"/>
          <w:szCs w:val="20"/>
          <w:lang w:eastAsia="nl-BE"/>
        </w:rPr>
      </w:pPr>
    </w:p>
    <w:p w14:paraId="440D90BD" w14:textId="77777777" w:rsidR="00355F2D" w:rsidRPr="00355F2D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b/>
          <w:noProof/>
          <w:sz w:val="20"/>
          <w:szCs w:val="20"/>
          <w:lang w:eastAsia="nl-BE"/>
        </w:rPr>
      </w:pPr>
      <w:r w:rsidRPr="00355F2D">
        <w:rPr>
          <w:noProof/>
          <w:lang w:eastAsia="nl-BE"/>
        </w:rPr>
        <w:drawing>
          <wp:inline distT="0" distB="0" distL="0" distR="0" wp14:anchorId="37737D8C" wp14:editId="64A431B5">
            <wp:extent cx="2581275" cy="14192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55F2D">
        <w:rPr>
          <w:b/>
          <w:noProof/>
          <w:sz w:val="20"/>
          <w:szCs w:val="20"/>
          <w:lang w:eastAsia="nl-BE"/>
        </w:rPr>
        <w:t xml:space="preserve">    </w:t>
      </w:r>
      <w:r w:rsidRPr="00355F2D">
        <w:rPr>
          <w:b/>
          <w:noProof/>
          <w:sz w:val="20"/>
          <w:szCs w:val="20"/>
          <w:lang w:eastAsia="nl-BE"/>
        </w:rPr>
        <w:drawing>
          <wp:inline distT="0" distB="0" distL="0" distR="0" wp14:anchorId="0A13E265" wp14:editId="37E0F6E9">
            <wp:extent cx="2933700" cy="13897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15" cy="141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68BDC" w14:textId="77777777" w:rsidR="00355F2D" w:rsidRPr="00355F2D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b/>
          <w:noProof/>
          <w:sz w:val="20"/>
          <w:szCs w:val="20"/>
          <w:lang w:eastAsia="nl-BE"/>
        </w:rPr>
      </w:pPr>
    </w:p>
    <w:p w14:paraId="79E051A8" w14:textId="32464E39" w:rsidR="00355F2D" w:rsidRPr="00355F2D" w:rsidRDefault="00D146AA" w:rsidP="00F85C01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/>
          <w:noProof/>
          <w:sz w:val="20"/>
          <w:szCs w:val="20"/>
          <w:lang w:eastAsia="nl-BE"/>
        </w:rPr>
      </w:pPr>
      <w:r>
        <w:rPr>
          <w:b/>
          <w:noProof/>
          <w:sz w:val="20"/>
          <w:szCs w:val="20"/>
          <w:lang w:eastAsia="nl-BE"/>
        </w:rPr>
        <w:t>Chiffres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5F2D" w:rsidRPr="00355F2D" w14:paraId="4043B0D1" w14:textId="77777777" w:rsidTr="004853AC">
        <w:tc>
          <w:tcPr>
            <w:tcW w:w="2265" w:type="dxa"/>
            <w:shd w:val="clear" w:color="auto" w:fill="D0CECE" w:themeFill="background2" w:themeFillShade="E6"/>
          </w:tcPr>
          <w:p w14:paraId="2DA998F6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5E5DE3D1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52F9A995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4EEB9F1B" w14:textId="6FB759CC" w:rsidR="00355F2D" w:rsidRPr="00355F2D" w:rsidRDefault="00CA31FB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>
              <w:rPr>
                <w:b/>
                <w:noProof/>
                <w:sz w:val="20"/>
                <w:szCs w:val="20"/>
                <w:lang w:eastAsia="nl-BE"/>
              </w:rPr>
              <w:t>Difference en</w:t>
            </w:r>
            <w:r w:rsidR="00355F2D" w:rsidRPr="00355F2D">
              <w:rPr>
                <w:b/>
                <w:noProof/>
                <w:sz w:val="20"/>
                <w:szCs w:val="20"/>
                <w:lang w:eastAsia="nl-BE"/>
              </w:rPr>
              <w:t xml:space="preserve"> %</w:t>
            </w:r>
          </w:p>
        </w:tc>
      </w:tr>
      <w:tr w:rsidR="00355F2D" w:rsidRPr="00355F2D" w14:paraId="02C44F46" w14:textId="77777777" w:rsidTr="004853AC">
        <w:tc>
          <w:tcPr>
            <w:tcW w:w="2265" w:type="dxa"/>
          </w:tcPr>
          <w:p w14:paraId="7FE30BE0" w14:textId="338FFA59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passagers</w:t>
            </w:r>
          </w:p>
        </w:tc>
        <w:tc>
          <w:tcPr>
            <w:tcW w:w="2265" w:type="dxa"/>
          </w:tcPr>
          <w:p w14:paraId="444B9B4B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434 970</w:t>
            </w:r>
          </w:p>
        </w:tc>
        <w:tc>
          <w:tcPr>
            <w:tcW w:w="2266" w:type="dxa"/>
          </w:tcPr>
          <w:p w14:paraId="23915D19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365 345</w:t>
            </w:r>
          </w:p>
        </w:tc>
        <w:tc>
          <w:tcPr>
            <w:tcW w:w="2266" w:type="dxa"/>
          </w:tcPr>
          <w:p w14:paraId="1AAD3B30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-16%</w:t>
            </w:r>
          </w:p>
        </w:tc>
      </w:tr>
      <w:tr w:rsidR="00355F2D" w:rsidRPr="00355F2D" w14:paraId="437924BE" w14:textId="77777777" w:rsidTr="004853AC">
        <w:tc>
          <w:tcPr>
            <w:tcW w:w="2265" w:type="dxa"/>
          </w:tcPr>
          <w:p w14:paraId="4021D1B3" w14:textId="21C1E146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i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i/>
                <w:noProof/>
                <w:sz w:val="20"/>
                <w:szCs w:val="20"/>
                <w:lang w:eastAsia="nl-BE"/>
              </w:rPr>
              <w:t xml:space="preserve">Passagers * </w:t>
            </w:r>
          </w:p>
        </w:tc>
        <w:tc>
          <w:tcPr>
            <w:tcW w:w="2265" w:type="dxa"/>
          </w:tcPr>
          <w:p w14:paraId="6C768C61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i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i/>
                <w:noProof/>
                <w:sz w:val="20"/>
                <w:szCs w:val="20"/>
                <w:lang w:eastAsia="nl-BE"/>
              </w:rPr>
              <w:t>318 301</w:t>
            </w:r>
          </w:p>
        </w:tc>
        <w:tc>
          <w:tcPr>
            <w:tcW w:w="2266" w:type="dxa"/>
          </w:tcPr>
          <w:p w14:paraId="1AF4599B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i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i/>
                <w:noProof/>
                <w:sz w:val="20"/>
                <w:szCs w:val="20"/>
                <w:lang w:eastAsia="nl-BE"/>
              </w:rPr>
              <w:t xml:space="preserve">365 345 </w:t>
            </w:r>
          </w:p>
        </w:tc>
        <w:tc>
          <w:tcPr>
            <w:tcW w:w="2266" w:type="dxa"/>
          </w:tcPr>
          <w:p w14:paraId="2B1E463C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i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i/>
                <w:noProof/>
                <w:sz w:val="20"/>
                <w:szCs w:val="20"/>
                <w:lang w:eastAsia="nl-BE"/>
              </w:rPr>
              <w:t>+15%</w:t>
            </w:r>
          </w:p>
        </w:tc>
      </w:tr>
      <w:tr w:rsidR="00355F2D" w:rsidRPr="00355F2D" w14:paraId="743264FA" w14:textId="77777777" w:rsidTr="004853AC">
        <w:tc>
          <w:tcPr>
            <w:tcW w:w="2265" w:type="dxa"/>
          </w:tcPr>
          <w:p w14:paraId="198368AA" w14:textId="51AD0BB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fret</w:t>
            </w:r>
          </w:p>
        </w:tc>
        <w:tc>
          <w:tcPr>
            <w:tcW w:w="2265" w:type="dxa"/>
          </w:tcPr>
          <w:p w14:paraId="6152FADA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22 224</w:t>
            </w:r>
          </w:p>
        </w:tc>
        <w:tc>
          <w:tcPr>
            <w:tcW w:w="2266" w:type="dxa"/>
          </w:tcPr>
          <w:p w14:paraId="476E66C5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23 369</w:t>
            </w:r>
          </w:p>
        </w:tc>
        <w:tc>
          <w:tcPr>
            <w:tcW w:w="2266" w:type="dxa"/>
          </w:tcPr>
          <w:p w14:paraId="71696AC8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+5%</w:t>
            </w:r>
          </w:p>
        </w:tc>
      </w:tr>
      <w:tr w:rsidR="00355F2D" w:rsidRPr="00355F2D" w14:paraId="55221991" w14:textId="77777777" w:rsidTr="004853AC">
        <w:tc>
          <w:tcPr>
            <w:tcW w:w="2265" w:type="dxa"/>
          </w:tcPr>
          <w:p w14:paraId="4C58C16E" w14:textId="7B99211E" w:rsidR="00355F2D" w:rsidRPr="00355F2D" w:rsidRDefault="00355F2D" w:rsidP="00355F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Mouvements</w:t>
            </w:r>
          </w:p>
        </w:tc>
        <w:tc>
          <w:tcPr>
            <w:tcW w:w="2265" w:type="dxa"/>
          </w:tcPr>
          <w:p w14:paraId="0401877C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24 183</w:t>
            </w:r>
          </w:p>
        </w:tc>
        <w:tc>
          <w:tcPr>
            <w:tcW w:w="2266" w:type="dxa"/>
          </w:tcPr>
          <w:p w14:paraId="49B75073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22 708</w:t>
            </w:r>
          </w:p>
        </w:tc>
        <w:tc>
          <w:tcPr>
            <w:tcW w:w="2266" w:type="dxa"/>
          </w:tcPr>
          <w:p w14:paraId="189632A8" w14:textId="77777777" w:rsidR="00355F2D" w:rsidRPr="00355F2D" w:rsidRDefault="00355F2D" w:rsidP="004853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noProof/>
                <w:sz w:val="20"/>
                <w:szCs w:val="20"/>
                <w:lang w:eastAsia="nl-BE"/>
              </w:rPr>
            </w:pPr>
            <w:r w:rsidRPr="00355F2D">
              <w:rPr>
                <w:b/>
                <w:noProof/>
                <w:sz w:val="20"/>
                <w:szCs w:val="20"/>
                <w:lang w:eastAsia="nl-BE"/>
              </w:rPr>
              <w:t>-6%</w:t>
            </w:r>
          </w:p>
        </w:tc>
      </w:tr>
    </w:tbl>
    <w:p w14:paraId="183BB4E8" w14:textId="0970F62C" w:rsidR="00355F2D" w:rsidRPr="0002698E" w:rsidRDefault="005D257C" w:rsidP="00355F2D">
      <w:pPr>
        <w:widowControl w:val="0"/>
        <w:autoSpaceDE w:val="0"/>
        <w:autoSpaceDN w:val="0"/>
        <w:adjustRightInd w:val="0"/>
        <w:rPr>
          <w:rFonts w:cs="Helvetica"/>
          <w:i/>
          <w:iCs/>
          <w:color w:val="343434"/>
          <w:sz w:val="20"/>
          <w:szCs w:val="20"/>
          <w:lang w:val="fr-FR"/>
        </w:rPr>
      </w:pPr>
      <w:r w:rsidRPr="0002698E">
        <w:rPr>
          <w:rFonts w:cs="Helvetica"/>
          <w:i/>
          <w:iCs/>
          <w:color w:val="343434"/>
          <w:sz w:val="20"/>
          <w:szCs w:val="20"/>
          <w:lang w:val="fr-FR"/>
        </w:rPr>
        <w:t>Passag</w:t>
      </w:r>
      <w:r w:rsidR="00355F2D" w:rsidRPr="0002698E">
        <w:rPr>
          <w:rFonts w:cs="Helvetica"/>
          <w:i/>
          <w:iCs/>
          <w:color w:val="343434"/>
          <w:sz w:val="20"/>
          <w:szCs w:val="20"/>
          <w:lang w:val="fr-FR"/>
        </w:rPr>
        <w:t xml:space="preserve">ers *: </w:t>
      </w:r>
      <w:r w:rsidR="0002698E" w:rsidRPr="0002698E">
        <w:rPr>
          <w:rFonts w:eastAsia="Times New Roman" w:cs="Times New Roman"/>
          <w:sz w:val="20"/>
          <w:szCs w:val="20"/>
          <w:lang w:val="fr-FR"/>
        </w:rPr>
        <w:t>ce nombre indique le nombre de passagers sans tenir compte des passagers supplémentaires à la suite des attentats de mars 2016.</w:t>
      </w:r>
    </w:p>
    <w:p w14:paraId="4597EAF8" w14:textId="101B24E7" w:rsidR="00355F2D" w:rsidRPr="009D79C3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rFonts w:cs="Helvetica"/>
          <w:b/>
          <w:iCs/>
          <w:color w:val="343434"/>
          <w:lang w:val="fr-FR"/>
        </w:rPr>
      </w:pPr>
      <w:r w:rsidRPr="0002698E">
        <w:rPr>
          <w:rFonts w:cs="Helvetica"/>
          <w:b/>
          <w:iCs/>
          <w:color w:val="343434"/>
          <w:lang w:val="fr-FR"/>
        </w:rPr>
        <w:t>Meilleur mois 2017</w:t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="0002698E" w:rsidRPr="009D79C3">
        <w:rPr>
          <w:rFonts w:cs="Helvetica"/>
          <w:b/>
          <w:iCs/>
          <w:color w:val="343434"/>
          <w:lang w:val="fr-FR"/>
        </w:rPr>
        <w:tab/>
      </w:r>
      <w:r w:rsidR="00CA31FB" w:rsidRPr="009D79C3">
        <w:rPr>
          <w:rFonts w:cs="Helvetica"/>
          <w:b/>
          <w:iCs/>
          <w:color w:val="343434"/>
          <w:lang w:val="fr-FR"/>
        </w:rPr>
        <w:t>août : 54.390 passag</w:t>
      </w:r>
      <w:r w:rsidRPr="009D79C3">
        <w:rPr>
          <w:rFonts w:cs="Helvetica"/>
          <w:b/>
          <w:iCs/>
          <w:color w:val="343434"/>
          <w:lang w:val="fr-FR"/>
        </w:rPr>
        <w:t>ers</w:t>
      </w:r>
      <w:r w:rsidRPr="009D79C3">
        <w:rPr>
          <w:rFonts w:cs="Helvetica"/>
          <w:b/>
          <w:iCs/>
          <w:color w:val="343434"/>
          <w:lang w:val="fr-FR"/>
        </w:rPr>
        <w:br/>
      </w:r>
      <w:r w:rsidRPr="0002698E">
        <w:rPr>
          <w:rFonts w:cs="Helvetica"/>
          <w:b/>
          <w:iCs/>
          <w:color w:val="343434"/>
          <w:lang w:val="fr-FR"/>
        </w:rPr>
        <w:t>Destination la plus fréquentée en 2017</w:t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  <w:t>Alicante</w:t>
      </w:r>
      <w:r w:rsidRPr="009D79C3">
        <w:rPr>
          <w:rFonts w:cs="Helvetica"/>
          <w:b/>
          <w:iCs/>
          <w:color w:val="343434"/>
          <w:lang w:val="fr-FR"/>
        </w:rPr>
        <w:br/>
      </w:r>
      <w:r w:rsidRPr="0002698E">
        <w:rPr>
          <w:rFonts w:cs="Helvetica"/>
          <w:b/>
          <w:iCs/>
          <w:color w:val="343434"/>
          <w:lang w:val="fr-FR"/>
        </w:rPr>
        <w:t>Nombre de personnes employées</w:t>
      </w:r>
      <w:r w:rsidRPr="009D79C3">
        <w:rPr>
          <w:rFonts w:cs="Helvetica"/>
          <w:b/>
          <w:iCs/>
          <w:color w:val="343434"/>
          <w:lang w:val="fr-FR"/>
        </w:rPr>
        <w:t xml:space="preserve"> </w:t>
      </w:r>
      <w:r w:rsidRPr="009D79C3">
        <w:rPr>
          <w:rFonts w:cs="Helvetica"/>
          <w:b/>
          <w:iCs/>
          <w:color w:val="343434"/>
          <w:lang w:val="fr-FR"/>
        </w:rPr>
        <w:tab/>
      </w:r>
      <w:r w:rsidR="0002698E"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  <w:t>109</w:t>
      </w:r>
      <w:r w:rsidRPr="009D79C3">
        <w:rPr>
          <w:rFonts w:cs="Helvetica"/>
          <w:b/>
          <w:iCs/>
          <w:color w:val="343434"/>
          <w:lang w:val="fr-FR"/>
        </w:rPr>
        <w:br/>
      </w:r>
      <w:r w:rsidRPr="0002698E">
        <w:rPr>
          <w:rFonts w:cs="Helvetica"/>
          <w:b/>
          <w:iCs/>
          <w:color w:val="343434"/>
          <w:lang w:val="fr-FR"/>
        </w:rPr>
        <w:t>Nombre de compagnies aériennes</w:t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  <w:t>1</w:t>
      </w:r>
    </w:p>
    <w:p w14:paraId="701DF8E5" w14:textId="79489E52" w:rsidR="00355F2D" w:rsidRPr="009D79C3" w:rsidRDefault="00355F2D" w:rsidP="00355F2D">
      <w:pPr>
        <w:widowControl w:val="0"/>
        <w:autoSpaceDE w:val="0"/>
        <w:autoSpaceDN w:val="0"/>
        <w:adjustRightInd w:val="0"/>
        <w:spacing w:after="0" w:line="276" w:lineRule="auto"/>
        <w:rPr>
          <w:rFonts w:cs="Helvetica"/>
          <w:b/>
          <w:iCs/>
          <w:color w:val="343434"/>
          <w:lang w:val="fr-FR"/>
        </w:rPr>
      </w:pPr>
      <w:r w:rsidRPr="0002698E">
        <w:rPr>
          <w:rFonts w:cs="Helvetica"/>
          <w:b/>
          <w:iCs/>
          <w:color w:val="343434"/>
          <w:lang w:val="fr-FR"/>
        </w:rPr>
        <w:t>Nombre de compagnies de fret</w:t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="0002698E"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>2</w:t>
      </w:r>
      <w:r w:rsidRPr="009D79C3">
        <w:rPr>
          <w:rFonts w:cs="Helvetica"/>
          <w:b/>
          <w:iCs/>
          <w:color w:val="343434"/>
          <w:lang w:val="fr-FR"/>
        </w:rPr>
        <w:br/>
      </w:r>
      <w:r w:rsidRPr="0002698E">
        <w:rPr>
          <w:rFonts w:cs="Helvetica"/>
          <w:b/>
          <w:iCs/>
          <w:color w:val="343434"/>
          <w:lang w:val="fr-FR"/>
        </w:rPr>
        <w:t>Nombre de destinations</w:t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</w:r>
      <w:r w:rsidRPr="009D79C3">
        <w:rPr>
          <w:rFonts w:cs="Helvetica"/>
          <w:b/>
          <w:iCs/>
          <w:color w:val="343434"/>
          <w:lang w:val="fr-FR"/>
        </w:rPr>
        <w:tab/>
        <w:t>25</w:t>
      </w:r>
      <w:bookmarkStart w:id="0" w:name="_GoBack"/>
      <w:bookmarkEnd w:id="0"/>
    </w:p>
    <w:p w14:paraId="02E3CFCD" w14:textId="77777777" w:rsidR="00355F2D" w:rsidRPr="00CF7F6C" w:rsidRDefault="00355F2D" w:rsidP="004B12AB">
      <w:pPr>
        <w:jc w:val="both"/>
        <w:rPr>
          <w:rFonts w:eastAsia="Times New Roman" w:cs="Times New Roman"/>
          <w:lang w:val="fr-FR"/>
        </w:rPr>
      </w:pPr>
    </w:p>
    <w:p w14:paraId="4B6A36B7" w14:textId="77777777" w:rsidR="00E80A0E" w:rsidRPr="00355F2D" w:rsidRDefault="00E80A0E" w:rsidP="00E80A0E">
      <w:pPr>
        <w:pStyle w:val="onecomwebmail-msonormal"/>
        <w:shd w:val="clear" w:color="auto" w:fill="FFFFFF"/>
        <w:spacing w:line="276" w:lineRule="auto"/>
        <w:jc w:val="center"/>
        <w:rPr>
          <w:rStyle w:val="size"/>
          <w:rFonts w:asciiTheme="minorHAnsi" w:hAnsiTheme="minorHAnsi"/>
          <w:lang w:val="fr-FR"/>
        </w:rPr>
      </w:pPr>
      <w:r w:rsidRPr="00355F2D">
        <w:rPr>
          <w:rStyle w:val="size"/>
          <w:rFonts w:asciiTheme="minorHAnsi" w:hAnsiTheme="minorHAnsi"/>
          <w:lang w:val="fr-FR"/>
        </w:rPr>
        <w:t>****</w:t>
      </w:r>
    </w:p>
    <w:p w14:paraId="000DB338" w14:textId="7888C91B" w:rsidR="00161D4F" w:rsidRPr="00355F2D" w:rsidRDefault="00161D4F" w:rsidP="00F85C01">
      <w:pPr>
        <w:spacing w:after="0" w:line="240" w:lineRule="auto"/>
        <w:jc w:val="both"/>
        <w:outlineLvl w:val="0"/>
        <w:rPr>
          <w:b/>
          <w:bCs/>
          <w:color w:val="000000"/>
          <w:sz w:val="20"/>
          <w:szCs w:val="20"/>
          <w:lang w:val="fr-FR"/>
        </w:rPr>
      </w:pPr>
      <w:r w:rsidRPr="00355F2D">
        <w:rPr>
          <w:rStyle w:val="size"/>
          <w:b/>
          <w:sz w:val="20"/>
          <w:szCs w:val="20"/>
          <w:lang w:val="fr-FR"/>
        </w:rPr>
        <w:t>À</w:t>
      </w:r>
      <w:r w:rsidRPr="00355F2D">
        <w:rPr>
          <w:b/>
          <w:bCs/>
          <w:color w:val="343434"/>
          <w:sz w:val="20"/>
          <w:szCs w:val="20"/>
          <w:lang w:val="fr-FR"/>
        </w:rPr>
        <w:t xml:space="preserve"> </w:t>
      </w:r>
      <w:r w:rsidRPr="00355F2D">
        <w:rPr>
          <w:b/>
          <w:bCs/>
          <w:color w:val="000000"/>
          <w:sz w:val="20"/>
          <w:szCs w:val="20"/>
          <w:lang w:val="fr-FR"/>
        </w:rPr>
        <w:t xml:space="preserve">propos d’Ostend-Bruges </w:t>
      </w:r>
      <w:proofErr w:type="spellStart"/>
      <w:r w:rsidRPr="00355F2D">
        <w:rPr>
          <w:b/>
          <w:bCs/>
          <w:color w:val="000000"/>
          <w:sz w:val="20"/>
          <w:szCs w:val="20"/>
          <w:lang w:val="fr-FR"/>
        </w:rPr>
        <w:t>Flanders</w:t>
      </w:r>
      <w:proofErr w:type="spellEnd"/>
      <w:r w:rsidRPr="00355F2D">
        <w:rPr>
          <w:b/>
          <w:bCs/>
          <w:color w:val="000000"/>
          <w:sz w:val="20"/>
          <w:szCs w:val="20"/>
          <w:lang w:val="fr-FR"/>
        </w:rPr>
        <w:t xml:space="preserve"> International Airport</w:t>
      </w:r>
    </w:p>
    <w:p w14:paraId="28A12B1C" w14:textId="57A423FA" w:rsidR="00161D4F" w:rsidRDefault="00161D4F" w:rsidP="0065710E">
      <w:pPr>
        <w:spacing w:after="0" w:line="240" w:lineRule="auto"/>
        <w:jc w:val="both"/>
        <w:rPr>
          <w:iCs/>
          <w:color w:val="333333"/>
          <w:sz w:val="20"/>
          <w:szCs w:val="20"/>
          <w:lang w:val="fr-FR"/>
        </w:rPr>
      </w:pPr>
      <w:r w:rsidRPr="00355F2D">
        <w:rPr>
          <w:iCs/>
          <w:color w:val="333333"/>
          <w:sz w:val="20"/>
          <w:szCs w:val="20"/>
          <w:lang w:val="fr-FR"/>
        </w:rPr>
        <w:t>L’Aéroport international d’Ostende</w:t>
      </w:r>
      <w:r w:rsidRPr="00355F2D">
        <w:rPr>
          <w:iCs/>
          <w:color w:val="343434"/>
          <w:sz w:val="20"/>
          <w:szCs w:val="20"/>
          <w:lang w:val="fr-FR"/>
        </w:rPr>
        <w:t xml:space="preserve"> appartient au groupe </w:t>
      </w:r>
      <w:proofErr w:type="spellStart"/>
      <w:r w:rsidRPr="00355F2D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355F2D">
        <w:rPr>
          <w:iCs/>
          <w:color w:val="343434"/>
          <w:sz w:val="20"/>
          <w:szCs w:val="20"/>
          <w:lang w:val="fr-FR"/>
        </w:rPr>
        <w:t xml:space="preserve"> sur une structure public/privé. </w:t>
      </w:r>
      <w:proofErr w:type="spellStart"/>
      <w:r w:rsidRPr="00355F2D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355F2D">
        <w:rPr>
          <w:iCs/>
          <w:color w:val="343434"/>
          <w:sz w:val="20"/>
          <w:szCs w:val="20"/>
          <w:lang w:val="fr-FR"/>
        </w:rPr>
        <w:t xml:space="preserve"> gère les activités commerciales de l’aéroport tandis que le gouvernement flamand est responsable des infrastructures. </w:t>
      </w:r>
      <w:r w:rsidRPr="00355F2D">
        <w:rPr>
          <w:iCs/>
          <w:color w:val="333333"/>
          <w:sz w:val="20"/>
          <w:szCs w:val="20"/>
          <w:lang w:val="fr-FR"/>
        </w:rPr>
        <w:t>Bien qu'une partie importante des activités se focalise sur le transport cargo, l’aéroport accueille également les voyageurs en leur proposant 2</w:t>
      </w:r>
      <w:r w:rsidR="00822507">
        <w:rPr>
          <w:iCs/>
          <w:color w:val="333333"/>
          <w:sz w:val="20"/>
          <w:szCs w:val="20"/>
          <w:lang w:val="fr-FR"/>
        </w:rPr>
        <w:t>5</w:t>
      </w:r>
      <w:r w:rsidRPr="00355F2D">
        <w:rPr>
          <w:iCs/>
          <w:color w:val="333333"/>
          <w:sz w:val="20"/>
          <w:szCs w:val="20"/>
          <w:lang w:val="fr-FR"/>
        </w:rPr>
        <w:t xml:space="preserve"> destinations. TUI est la principale compagnie aérienne de l’aéroport, qui L’aéroport accueille également des vols charter, privés, d’écolage et ad hoc. </w:t>
      </w:r>
    </w:p>
    <w:p w14:paraId="4F0512E6" w14:textId="70E01241" w:rsidR="00822507" w:rsidRPr="00832CB6" w:rsidRDefault="00832CB6" w:rsidP="0065710E">
      <w:pPr>
        <w:spacing w:after="0" w:line="240" w:lineRule="auto"/>
        <w:jc w:val="both"/>
        <w:rPr>
          <w:iCs/>
          <w:color w:val="343434"/>
          <w:sz w:val="20"/>
          <w:szCs w:val="20"/>
          <w:lang w:val="fr-FR"/>
        </w:rPr>
      </w:pPr>
      <w:r>
        <w:rPr>
          <w:iCs/>
          <w:color w:val="343434"/>
          <w:sz w:val="20"/>
          <w:szCs w:val="20"/>
          <w:lang w:val="fr-FR"/>
        </w:rPr>
        <w:br/>
      </w:r>
      <w:r w:rsidR="00822507" w:rsidRPr="00832CB6">
        <w:rPr>
          <w:iCs/>
          <w:color w:val="343434"/>
          <w:sz w:val="20"/>
          <w:szCs w:val="20"/>
          <w:lang w:val="fr-FR"/>
        </w:rPr>
        <w:t>En 2017, l'aéroport d'Ostende-Bruges a accueilli 365.345 passagers, 22.708 mouvements ont été enregistrés et 23 369 tonnes de fret ont été transportés.</w:t>
      </w:r>
    </w:p>
    <w:p w14:paraId="6DE0AD76" w14:textId="2151663A" w:rsidR="00161D4F" w:rsidRPr="00355F2D" w:rsidRDefault="000F1838" w:rsidP="00161D4F">
      <w:pPr>
        <w:jc w:val="both"/>
        <w:rPr>
          <w:color w:val="000000"/>
          <w:sz w:val="20"/>
          <w:szCs w:val="20"/>
          <w:lang w:val="en-US"/>
        </w:rPr>
      </w:pPr>
      <w:hyperlink r:id="rId10" w:history="1">
        <w:r w:rsidR="00161D4F" w:rsidRPr="00355F2D">
          <w:rPr>
            <w:rStyle w:val="Hyperlink"/>
            <w:rFonts w:cs="Arial"/>
            <w:sz w:val="20"/>
            <w:szCs w:val="20"/>
            <w:lang w:val="en-US"/>
          </w:rPr>
          <w:t>www.ostendairport.aero</w:t>
        </w:r>
      </w:hyperlink>
    </w:p>
    <w:p w14:paraId="1CF21688" w14:textId="77777777" w:rsidR="00161D4F" w:rsidRPr="00355F2D" w:rsidRDefault="00161D4F" w:rsidP="00161D4F">
      <w:pPr>
        <w:pStyle w:val="onecomwebmail-msonormal"/>
        <w:shd w:val="clear" w:color="auto" w:fill="FFFFFF"/>
        <w:spacing w:line="276" w:lineRule="auto"/>
        <w:jc w:val="center"/>
        <w:rPr>
          <w:rStyle w:val="size"/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379E36E9" w14:textId="732C76FA" w:rsidR="00161D4F" w:rsidRPr="00355F2D" w:rsidRDefault="00161D4F" w:rsidP="00F85C01">
      <w:pPr>
        <w:jc w:val="both"/>
        <w:outlineLvl w:val="0"/>
        <w:rPr>
          <w:b/>
          <w:bCs/>
          <w:color w:val="000000"/>
          <w:sz w:val="20"/>
          <w:szCs w:val="20"/>
          <w:lang w:val="en-US"/>
        </w:rPr>
      </w:pPr>
      <w:r w:rsidRPr="00355F2D">
        <w:rPr>
          <w:b/>
          <w:bCs/>
          <w:color w:val="000000"/>
          <w:sz w:val="20"/>
          <w:szCs w:val="20"/>
          <w:lang w:val="en-US"/>
        </w:rPr>
        <w:t xml:space="preserve">Contact </w:t>
      </w:r>
      <w:proofErr w:type="spellStart"/>
      <w:r w:rsidRPr="00355F2D">
        <w:rPr>
          <w:b/>
          <w:bCs/>
          <w:color w:val="000000"/>
          <w:sz w:val="20"/>
          <w:szCs w:val="20"/>
          <w:lang w:val="en-US"/>
        </w:rPr>
        <w:t>p</w:t>
      </w:r>
      <w:r w:rsidR="0065710E" w:rsidRPr="00355F2D">
        <w:rPr>
          <w:b/>
          <w:bCs/>
          <w:color w:val="000000"/>
          <w:sz w:val="20"/>
          <w:szCs w:val="20"/>
          <w:lang w:val="en-US"/>
        </w:rPr>
        <w:t>resse</w:t>
      </w:r>
      <w:proofErr w:type="spellEnd"/>
    </w:p>
    <w:p w14:paraId="4BAD56B8" w14:textId="77777777" w:rsidR="00161D4F" w:rsidRPr="00355F2D" w:rsidRDefault="00161D4F" w:rsidP="00F85C01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355F2D">
        <w:rPr>
          <w:bCs/>
          <w:color w:val="000000"/>
          <w:sz w:val="20"/>
          <w:szCs w:val="20"/>
          <w:lang w:val="en-US"/>
        </w:rPr>
        <w:t>Catherine Stuyck</w:t>
      </w:r>
    </w:p>
    <w:p w14:paraId="53E4B506" w14:textId="77777777" w:rsidR="00161D4F" w:rsidRPr="00355F2D" w:rsidRDefault="00161D4F" w:rsidP="00F85C01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355F2D">
        <w:rPr>
          <w:color w:val="000000"/>
          <w:sz w:val="20"/>
          <w:szCs w:val="20"/>
          <w:lang w:val="en-US"/>
        </w:rPr>
        <w:t>E-mail:  </w:t>
      </w:r>
      <w:hyperlink r:id="rId11" w:history="1">
        <w:r w:rsidRPr="00355F2D">
          <w:rPr>
            <w:color w:val="0563C1"/>
            <w:sz w:val="20"/>
            <w:szCs w:val="20"/>
            <w:u w:val="single"/>
            <w:lang w:val="en-US"/>
          </w:rPr>
          <w:t>catherine.stuyck@antwerpairport.aero</w:t>
        </w:r>
      </w:hyperlink>
      <w:r w:rsidRPr="00355F2D">
        <w:rPr>
          <w:color w:val="000000"/>
          <w:sz w:val="20"/>
          <w:szCs w:val="20"/>
          <w:lang w:val="en-US"/>
        </w:rPr>
        <w:t> </w:t>
      </w:r>
    </w:p>
    <w:sectPr w:rsidR="00161D4F" w:rsidRPr="00355F2D" w:rsidSect="00161D4F">
      <w:headerReference w:type="default" r:id="rId12"/>
      <w:pgSz w:w="11906" w:h="16838"/>
      <w:pgMar w:top="24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AEEA" w14:textId="77777777" w:rsidR="000F1838" w:rsidRDefault="000F1838" w:rsidP="00984E68">
      <w:pPr>
        <w:spacing w:after="0" w:line="240" w:lineRule="auto"/>
      </w:pPr>
      <w:r>
        <w:separator/>
      </w:r>
    </w:p>
  </w:endnote>
  <w:endnote w:type="continuationSeparator" w:id="0">
    <w:p w14:paraId="0B40E1D1" w14:textId="77777777" w:rsidR="000F1838" w:rsidRDefault="000F1838" w:rsidP="009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0046" w14:textId="77777777" w:rsidR="000F1838" w:rsidRDefault="000F1838" w:rsidP="00984E68">
      <w:pPr>
        <w:spacing w:after="0" w:line="240" w:lineRule="auto"/>
      </w:pPr>
      <w:r>
        <w:separator/>
      </w:r>
    </w:p>
  </w:footnote>
  <w:footnote w:type="continuationSeparator" w:id="0">
    <w:p w14:paraId="55D55F36" w14:textId="77777777" w:rsidR="000F1838" w:rsidRDefault="000F1838" w:rsidP="0098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0DBD" w14:textId="7781F63B" w:rsidR="00984E68" w:rsidRDefault="00984E68">
    <w:pPr>
      <w:pStyle w:val="Koptekst"/>
    </w:pPr>
    <w:r>
      <w:tab/>
    </w:r>
    <w:r>
      <w:tab/>
    </w:r>
    <w:r>
      <w:rPr>
        <w:noProof/>
        <w:lang w:eastAsia="nl-BE"/>
      </w:rPr>
      <w:drawing>
        <wp:inline distT="0" distB="0" distL="0" distR="0" wp14:anchorId="2D006A20" wp14:editId="03F41303">
          <wp:extent cx="2286934" cy="723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STEND-BRUGES_RVB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46" cy="7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4D696" w14:textId="77777777" w:rsidR="00984E68" w:rsidRDefault="00984E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B2"/>
    <w:rsid w:val="0002698E"/>
    <w:rsid w:val="00066131"/>
    <w:rsid w:val="00074F65"/>
    <w:rsid w:val="00094472"/>
    <w:rsid w:val="000F1838"/>
    <w:rsid w:val="00161D4F"/>
    <w:rsid w:val="001974E7"/>
    <w:rsid w:val="00355F2D"/>
    <w:rsid w:val="00396C41"/>
    <w:rsid w:val="003D445B"/>
    <w:rsid w:val="004432DB"/>
    <w:rsid w:val="00447FF7"/>
    <w:rsid w:val="004B12AB"/>
    <w:rsid w:val="005A1FB3"/>
    <w:rsid w:val="005B6CA4"/>
    <w:rsid w:val="005D257C"/>
    <w:rsid w:val="00646089"/>
    <w:rsid w:val="006568D8"/>
    <w:rsid w:val="0065710E"/>
    <w:rsid w:val="00692107"/>
    <w:rsid w:val="0079134C"/>
    <w:rsid w:val="007F453C"/>
    <w:rsid w:val="00822507"/>
    <w:rsid w:val="00832CB6"/>
    <w:rsid w:val="00955E46"/>
    <w:rsid w:val="00984E68"/>
    <w:rsid w:val="009D79C3"/>
    <w:rsid w:val="00A70171"/>
    <w:rsid w:val="00AF58F0"/>
    <w:rsid w:val="00B34120"/>
    <w:rsid w:val="00BC1DEC"/>
    <w:rsid w:val="00BF1ED5"/>
    <w:rsid w:val="00BF420D"/>
    <w:rsid w:val="00C31FDF"/>
    <w:rsid w:val="00CA31FB"/>
    <w:rsid w:val="00D146AA"/>
    <w:rsid w:val="00D23640"/>
    <w:rsid w:val="00D44165"/>
    <w:rsid w:val="00D805D9"/>
    <w:rsid w:val="00DA4D2D"/>
    <w:rsid w:val="00DC00D7"/>
    <w:rsid w:val="00E80A0E"/>
    <w:rsid w:val="00E91DB2"/>
    <w:rsid w:val="00EF0559"/>
    <w:rsid w:val="00EF12A2"/>
    <w:rsid w:val="00F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C7828"/>
  <w15:docId w15:val="{66B50D3B-A703-4D4C-AFE7-253423E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1DB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1D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1D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1DB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DB2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1D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1DB2"/>
    <w:rPr>
      <w:b/>
      <w:bCs/>
      <w:sz w:val="20"/>
      <w:szCs w:val="20"/>
    </w:rPr>
  </w:style>
  <w:style w:type="paragraph" w:customStyle="1" w:styleId="onecomwebmail-msonormal">
    <w:name w:val="onecomwebmail-msonormal"/>
    <w:basedOn w:val="Standaard"/>
    <w:rsid w:val="00955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font">
    <w:name w:val="font"/>
    <w:basedOn w:val="Standaardalinea-lettertype"/>
    <w:rsid w:val="00955E46"/>
  </w:style>
  <w:style w:type="character" w:customStyle="1" w:styleId="size">
    <w:name w:val="size"/>
    <w:basedOn w:val="Standaardalinea-lettertype"/>
    <w:rsid w:val="00955E46"/>
  </w:style>
  <w:style w:type="paragraph" w:styleId="Koptekst">
    <w:name w:val="header"/>
    <w:basedOn w:val="Standaard"/>
    <w:link w:val="KoptekstChar"/>
    <w:uiPriority w:val="99"/>
    <w:unhideWhenUsed/>
    <w:rsid w:val="009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4E68"/>
  </w:style>
  <w:style w:type="paragraph" w:styleId="Voettekst">
    <w:name w:val="footer"/>
    <w:basedOn w:val="Standaard"/>
    <w:link w:val="VoettekstChar"/>
    <w:uiPriority w:val="99"/>
    <w:unhideWhenUsed/>
    <w:rsid w:val="009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4E68"/>
  </w:style>
  <w:style w:type="table" w:styleId="Tabelraster">
    <w:name w:val="Table Grid"/>
    <w:basedOn w:val="Standaardtabel"/>
    <w:uiPriority w:val="39"/>
    <w:rsid w:val="0035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5C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5C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5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2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2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mailto:catherine.stuyck@antwerpairport.aero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ostendairport.aer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herine.stuyck\AppData\Local\Microsoft\Windows\Temporary%20Internet%20Files\Content.Outlook\GTAG7QFC\2017_overview%20ANR%20%20OST%20Total%20figures%202017%20v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herine.stuyck\AppData\Local\Microsoft\Windows\Temporary%20Internet%20Files\Content.Outlook\GTAG7QFC\2017_overview%20ANR%20%20OST%20Total%20figures%202017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solidFill>
                  <a:sysClr val="windowText" lastClr="000000"/>
                </a:solidFill>
              </a:rPr>
              <a:t>Passengers</a:t>
            </a:r>
            <a:r>
              <a:rPr lang="en-US" sz="1200">
                <a:solidFill>
                  <a:srgbClr val="00B050"/>
                </a:solidFill>
              </a:rPr>
              <a:t> 2017</a:t>
            </a:r>
            <a:r>
              <a:rPr lang="en-US" sz="1200">
                <a:solidFill>
                  <a:sysClr val="windowText" lastClr="000000"/>
                </a:solidFill>
              </a:rPr>
              <a:t>-</a:t>
            </a:r>
            <a:r>
              <a:rPr lang="en-US" sz="12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67265275"/>
          <c:y val="3.19391481983661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[3]PAX!$B$6:$M$6</c:f>
              <c:numCache>
                <c:formatCode>#,##0</c:formatCode>
                <c:ptCount val="12"/>
                <c:pt idx="0">
                  <c:v>13960</c:v>
                </c:pt>
                <c:pt idx="1">
                  <c:v>14853</c:v>
                </c:pt>
                <c:pt idx="2">
                  <c:v>17217</c:v>
                </c:pt>
                <c:pt idx="3">
                  <c:v>26494</c:v>
                </c:pt>
                <c:pt idx="4">
                  <c:v>36983</c:v>
                </c:pt>
                <c:pt idx="5">
                  <c:v>38083</c:v>
                </c:pt>
                <c:pt idx="6">
                  <c:v>51700</c:v>
                </c:pt>
                <c:pt idx="7">
                  <c:v>54390</c:v>
                </c:pt>
                <c:pt idx="8">
                  <c:v>45538</c:v>
                </c:pt>
                <c:pt idx="9">
                  <c:v>30279</c:v>
                </c:pt>
                <c:pt idx="10">
                  <c:v>17880</c:v>
                </c:pt>
                <c:pt idx="11">
                  <c:v>17968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[3]PAX!$B$7:$M$7</c:f>
              <c:numCache>
                <c:formatCode>#,##0</c:formatCode>
                <c:ptCount val="12"/>
                <c:pt idx="0">
                  <c:v>14700</c:v>
                </c:pt>
                <c:pt idx="1">
                  <c:v>17449</c:v>
                </c:pt>
                <c:pt idx="2">
                  <c:v>54456</c:v>
                </c:pt>
                <c:pt idx="3">
                  <c:v>96448</c:v>
                </c:pt>
                <c:pt idx="4">
                  <c:v>36443</c:v>
                </c:pt>
                <c:pt idx="5">
                  <c:v>33540</c:v>
                </c:pt>
                <c:pt idx="6">
                  <c:v>39639</c:v>
                </c:pt>
                <c:pt idx="7">
                  <c:v>43422</c:v>
                </c:pt>
                <c:pt idx="8">
                  <c:v>36686</c:v>
                </c:pt>
                <c:pt idx="9">
                  <c:v>28401</c:v>
                </c:pt>
                <c:pt idx="10">
                  <c:v>18708</c:v>
                </c:pt>
                <c:pt idx="11">
                  <c:v>15078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443224"/>
        <c:axId val="641442048"/>
      </c:barChart>
      <c:catAx>
        <c:axId val="641443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641442048"/>
        <c:crosses val="autoZero"/>
        <c:auto val="1"/>
        <c:lblAlgn val="ctr"/>
        <c:lblOffset val="100"/>
        <c:noMultiLvlLbl val="0"/>
      </c:catAx>
      <c:valAx>
        <c:axId val="641442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641443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solidFill>
                  <a:sysClr val="windowText" lastClr="000000"/>
                </a:solidFill>
              </a:rPr>
              <a:t>Cargo</a:t>
            </a:r>
            <a:r>
              <a:rPr lang="en-US" sz="1200">
                <a:solidFill>
                  <a:srgbClr val="00B050"/>
                </a:solidFill>
              </a:rPr>
              <a:t> 2017</a:t>
            </a:r>
            <a:r>
              <a:rPr lang="en-US" sz="1200">
                <a:solidFill>
                  <a:sysClr val="windowText" lastClr="000000"/>
                </a:solidFill>
              </a:rPr>
              <a:t>-</a:t>
            </a:r>
            <a:r>
              <a:rPr lang="en-US" sz="1200">
                <a:solidFill>
                  <a:schemeClr val="accent1"/>
                </a:solidFill>
              </a:rPr>
              <a:t>2016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9620206829229"/>
          <c:y val="0.17084325215162099"/>
          <c:w val="0.793056204627826"/>
          <c:h val="0.72818134651773203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val>
            <c:numRef>
              <c:f>[3]CARGO!$B$6:$M$6</c:f>
              <c:numCache>
                <c:formatCode>#,##0</c:formatCode>
                <c:ptCount val="12"/>
                <c:pt idx="0">
                  <c:v>1757695</c:v>
                </c:pt>
                <c:pt idx="1">
                  <c:v>1443395</c:v>
                </c:pt>
                <c:pt idx="2">
                  <c:v>1908283</c:v>
                </c:pt>
                <c:pt idx="3">
                  <c:v>1827722</c:v>
                </c:pt>
                <c:pt idx="4">
                  <c:v>1725553</c:v>
                </c:pt>
                <c:pt idx="5">
                  <c:v>1530887</c:v>
                </c:pt>
                <c:pt idx="6">
                  <c:v>1023935</c:v>
                </c:pt>
                <c:pt idx="7">
                  <c:v>1069576</c:v>
                </c:pt>
                <c:pt idx="8">
                  <c:v>1019731</c:v>
                </c:pt>
                <c:pt idx="9">
                  <c:v>2012832</c:v>
                </c:pt>
                <c:pt idx="10">
                  <c:v>3560003</c:v>
                </c:pt>
                <c:pt idx="11">
                  <c:v>4489292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rgbClr val="0070C0"/>
            </a:solidFill>
          </c:spPr>
          <c:invertIfNegative val="0"/>
          <c:val>
            <c:numRef>
              <c:f>[3]CARGO!$B$7:$M$7</c:f>
              <c:numCache>
                <c:formatCode>#,##0</c:formatCode>
                <c:ptCount val="12"/>
                <c:pt idx="0">
                  <c:v>1715111</c:v>
                </c:pt>
                <c:pt idx="1">
                  <c:v>1552054</c:v>
                </c:pt>
                <c:pt idx="2">
                  <c:v>2440905</c:v>
                </c:pt>
                <c:pt idx="3">
                  <c:v>3503728</c:v>
                </c:pt>
                <c:pt idx="4">
                  <c:v>2092406</c:v>
                </c:pt>
                <c:pt idx="5">
                  <c:v>1034425</c:v>
                </c:pt>
                <c:pt idx="6">
                  <c:v>1014958</c:v>
                </c:pt>
                <c:pt idx="7">
                  <c:v>1004732</c:v>
                </c:pt>
                <c:pt idx="8">
                  <c:v>906324</c:v>
                </c:pt>
                <c:pt idx="9">
                  <c:v>1650808</c:v>
                </c:pt>
                <c:pt idx="10">
                  <c:v>2148455</c:v>
                </c:pt>
                <c:pt idx="11">
                  <c:v>3160129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667696"/>
        <c:axId val="464670440"/>
        <c:extLst/>
      </c:barChart>
      <c:catAx>
        <c:axId val="464667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Calibri" panose="020F0502020204030204" pitchFamily="34" charset="0"/>
              </a:defRPr>
            </a:pPr>
            <a:endParaRPr lang="nl-BE"/>
          </a:p>
        </c:txPr>
        <c:crossAx val="464670440"/>
        <c:crosses val="autoZero"/>
        <c:auto val="1"/>
        <c:lblAlgn val="ctr"/>
        <c:lblOffset val="100"/>
        <c:noMultiLvlLbl val="0"/>
      </c:catAx>
      <c:valAx>
        <c:axId val="464670440"/>
        <c:scaling>
          <c:orientation val="minMax"/>
          <c:max val="4500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6466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bobadmin</dc:creator>
  <cp:lastModifiedBy>Vanessa Duyvejonck</cp:lastModifiedBy>
  <cp:revision>6</cp:revision>
  <cp:lastPrinted>2017-09-11T14:04:00Z</cp:lastPrinted>
  <dcterms:created xsi:type="dcterms:W3CDTF">2018-01-05T15:36:00Z</dcterms:created>
  <dcterms:modified xsi:type="dcterms:W3CDTF">2018-01-11T09:20:00Z</dcterms:modified>
</cp:coreProperties>
</file>